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FB" w:rsidRPr="00E60A8F" w:rsidRDefault="00090D19" w:rsidP="00E607FB">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38.1.9-l</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AC2A79"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2F4FC9" w:rsidRPr="004B3FCA" w:rsidRDefault="002F4FC9"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Crédito está conformado por tres archivos de texto a nivel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deberán reportar los datos especificados en cada una de las pólizas que hayan estado en vigor del 1º de enero al 31 de diciembre del año de reporte, independientemente de que la póliza no se encuentre en vigor a la fecha de cierre del ejercicio.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 la suma asegurada para cada una de las pólizas que hayan tenido algún movimiento de emisión dentro del periodo de reporte, así como la prima emitida y devengada en el ejercicio del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que hayan tenido movimientos en siniestros durante el periodo de reporte, indicando el lugar y fecha de ocurrencia así como el monto de cada siniestro. Solo se reportarán en este archivo los siniestros improcedentes por los cuales se haya erogado gastos de ajuste o exista saldo en el monto del siniestro por diferencia en el tipo de cambio.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de tomar en cuenta las siguientes consideraciones: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 xml:space="preserve">Los archivos debe ser de tipo texto con separadores, es decir, cada una de sus columnas (variables) deberán estar separadas por pipes |, de tal manera que si el valor a reportar es cero, el campo de la variable se debe registrar con un solo cero y si el valor es nulo el campo </w:t>
      </w:r>
      <w:proofErr w:type="gramStart"/>
      <w:r w:rsidRPr="004B3FCA">
        <w:rPr>
          <w:rFonts w:ascii="Georgia" w:hAnsi="Georgia" w:cs="Georgia"/>
          <w:sz w:val="20"/>
          <w:szCs w:val="20"/>
        </w:rPr>
        <w:t>se</w:t>
      </w:r>
      <w:proofErr w:type="gramEnd"/>
      <w:r w:rsidRPr="004B3FCA">
        <w:rPr>
          <w:rFonts w:ascii="Georgia" w:hAnsi="Georgia" w:cs="Georgia"/>
          <w:sz w:val="20"/>
          <w:szCs w:val="20"/>
        </w:rPr>
        <w:t xml:space="preserve"> debe dejar vacío, a menos que se especifique lo contrario, por lo que en el archivo de tipo texto el campo aparecerá con dos pipes seguidos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el tipo de cambio a utilizar será el correspondiente al que se utilizó para el registro contable mensual (</w:t>
      </w:r>
      <w:r w:rsidR="00D14D21">
        <w:rPr>
          <w:rFonts w:ascii="Georgia" w:hAnsi="Georgia" w:cs="Georgia"/>
          <w:sz w:val="20"/>
          <w:szCs w:val="20"/>
        </w:rPr>
        <w:t>Reporte Regulatorio Sobre Estados Financieros RR7</w:t>
      </w:r>
      <w:r w:rsidRPr="004B3FCA">
        <w:rPr>
          <w:rFonts w:ascii="Georgia" w:hAnsi="Georgia" w:cs="Georgia"/>
          <w:sz w:val="20"/>
          <w:szCs w:val="20"/>
        </w:rPr>
        <w:t>). En el monto correspondiente a Suma asegurada se utilizará el tipo de cambio del cierre anual del ejercicio a reportar.</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 xml:space="preserve">Todas las variables numéricas se deben reportar </w:t>
      </w:r>
      <w:r w:rsidR="0087498D">
        <w:rPr>
          <w:rFonts w:ascii="Georgia" w:hAnsi="Georgia" w:cs="Georgia"/>
          <w:sz w:val="20"/>
          <w:szCs w:val="20"/>
        </w:rPr>
        <w:t>con 2</w:t>
      </w:r>
      <w:r w:rsidRPr="004B3FCA">
        <w:rPr>
          <w:rFonts w:ascii="Georgia" w:hAnsi="Georgia" w:cs="Georgia"/>
          <w:sz w:val="20"/>
          <w:szCs w:val="20"/>
        </w:rPr>
        <w:t xml:space="preserve"> decimales</w:t>
      </w:r>
      <w:r w:rsidR="0087498D">
        <w:rPr>
          <w:rFonts w:ascii="Georgia" w:hAnsi="Georgia" w:cs="Georgia"/>
          <w:sz w:val="20"/>
          <w:szCs w:val="20"/>
        </w:rPr>
        <w:t xml:space="preserve"> a excepción </w:t>
      </w:r>
      <w:r w:rsidR="004E561A">
        <w:rPr>
          <w:rFonts w:ascii="Georgia" w:hAnsi="Georgia" w:cs="Georgia"/>
          <w:sz w:val="20"/>
          <w:szCs w:val="20"/>
        </w:rPr>
        <w:t xml:space="preserve">de </w:t>
      </w:r>
      <w:proofErr w:type="gramStart"/>
      <w:r w:rsidR="004E561A">
        <w:rPr>
          <w:rFonts w:ascii="Georgia" w:hAnsi="Georgia" w:cs="Georgia"/>
          <w:sz w:val="20"/>
          <w:szCs w:val="20"/>
        </w:rPr>
        <w:t>las</w:t>
      </w:r>
      <w:proofErr w:type="gramEnd"/>
      <w:r w:rsidR="004E561A">
        <w:rPr>
          <w:rFonts w:ascii="Georgia" w:hAnsi="Georgia" w:cs="Georgia"/>
          <w:sz w:val="20"/>
          <w:szCs w:val="20"/>
        </w:rPr>
        <w:t xml:space="preserve"> variables</w:t>
      </w:r>
      <w:r w:rsidR="0087498D">
        <w:rPr>
          <w:rFonts w:ascii="Georgia" w:hAnsi="Georgia" w:cs="Georgia"/>
          <w:sz w:val="20"/>
          <w:szCs w:val="20"/>
        </w:rPr>
        <w:t xml:space="preserve"> plazo, suma asegurada y comisión directa</w:t>
      </w:r>
      <w:r w:rsidRPr="004B3FCA">
        <w:rPr>
          <w:rFonts w:ascii="Georgia" w:hAnsi="Georgia" w:cs="Georgia"/>
          <w:sz w:val="20"/>
          <w:szCs w:val="20"/>
        </w:rPr>
        <w:t>.</w:t>
      </w:r>
    </w:p>
    <w:p w:rsidR="00C9552D" w:rsidRDefault="00C9552D" w:rsidP="00C9552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AC2A79"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p w:rsidR="00B521F2" w:rsidRPr="004B3FCA" w:rsidRDefault="00B521F2"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20.2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160</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986D63">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161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0</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1705D2"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87498D"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1705D2"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AC2A79" w:rsidRDefault="00AC2A79" w:rsidP="00AC2A79">
      <w:pPr>
        <w:pStyle w:val="Texto"/>
        <w:spacing w:line="240" w:lineRule="auto"/>
        <w:rPr>
          <w:rFonts w:ascii="Georgia" w:hAnsi="Georgia" w:cs="Georgia"/>
          <w:sz w:val="20"/>
          <w:szCs w:val="20"/>
        </w:rPr>
      </w:pPr>
    </w:p>
    <w:p w:rsidR="00343641" w:rsidRPr="004B3FCA" w:rsidRDefault="00343641"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t>Archivo Plano “Emisión”</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B521F2" w:rsidRDefault="00B521F2" w:rsidP="00AC2A79">
      <w:pPr>
        <w:pStyle w:val="Texto"/>
        <w:spacing w:after="0" w:line="240" w:lineRule="auto"/>
        <w:rPr>
          <w:rFonts w:ascii="Georgia" w:hAnsi="Georgia" w:cs="Georgia"/>
          <w:sz w:val="20"/>
          <w:szCs w:val="20"/>
        </w:rPr>
      </w:pPr>
    </w:p>
    <w:p w:rsidR="00B521F2" w:rsidRDefault="00B521F2" w:rsidP="00AC2A79">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4B3FCA"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5076AD">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C25A9E">
              <w:rPr>
                <w:rFonts w:ascii="Georgia" w:hAnsi="Georgia"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5076AD">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5C294E" w:rsidP="00456C72">
            <w:pPr>
              <w:pStyle w:val="Texto"/>
              <w:spacing w:line="240" w:lineRule="auto"/>
              <w:ind w:firstLine="0"/>
              <w:rPr>
                <w:rFonts w:ascii="Georgia" w:hAnsi="Georgia" w:cs="Georgia"/>
                <w:b/>
                <w:bCs/>
                <w:sz w:val="20"/>
                <w:szCs w:val="20"/>
              </w:rPr>
            </w:pPr>
            <w:r w:rsidRPr="005C294E">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7498D" w:rsidRPr="004B3FCA" w:rsidTr="00456C72">
        <w:trPr>
          <w:trHeight w:val="144"/>
        </w:trPr>
        <w:tc>
          <w:tcPr>
            <w:tcW w:w="811" w:type="dxa"/>
            <w:tcBorders>
              <w:top w:val="single" w:sz="6" w:space="0" w:color="auto"/>
              <w:left w:val="double" w:sz="6" w:space="0" w:color="auto"/>
              <w:bottom w:val="double" w:sz="6" w:space="0" w:color="auto"/>
              <w:right w:val="single" w:sz="6" w:space="0" w:color="auto"/>
            </w:tcBorders>
          </w:tcPr>
          <w:p w:rsidR="0087498D" w:rsidRPr="004B3FCA" w:rsidRDefault="0087498D" w:rsidP="00C25A9E">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403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343641" w:rsidRPr="004B3FCA" w:rsidRDefault="00343641"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w:t>
      </w:r>
      <w:r w:rsidR="001705D2" w:rsidRPr="006764E4">
        <w:rPr>
          <w:rFonts w:ascii="Georgia" w:hAnsi="Georgia"/>
          <w:b/>
          <w:sz w:val="20"/>
          <w:szCs w:val="20"/>
        </w:rPr>
        <w:t>DGES009920151231.TXT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Subcuenta contable:</w:t>
      </w:r>
      <w:r w:rsidR="00AC2A79" w:rsidRPr="004B3FCA">
        <w:rPr>
          <w:rFonts w:ascii="Georgia" w:hAnsi="Georgia" w:cs="Georgia"/>
          <w:sz w:val="20"/>
          <w:szCs w:val="20"/>
        </w:rPr>
        <w:t xml:space="preserve"> Se debe capturar según el </w:t>
      </w:r>
      <w:r w:rsidR="00AC2A79" w:rsidRPr="004B3FCA">
        <w:rPr>
          <w:rFonts w:ascii="Georgia" w:hAnsi="Georgia" w:cs="Georgia"/>
          <w:b/>
          <w:bCs/>
          <w:sz w:val="20"/>
          <w:szCs w:val="20"/>
        </w:rPr>
        <w:t>catálogo 3</w:t>
      </w:r>
      <w:r w:rsidR="00AC2A7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AC2A79" w:rsidRPr="004B3FCA">
          <w:rPr>
            <w:rFonts w:ascii="Georgia" w:hAnsi="Georgia" w:cs="Georgia"/>
            <w:sz w:val="20"/>
            <w:szCs w:val="20"/>
          </w:rPr>
          <w:t>la CNSF.</w:t>
        </w:r>
      </w:smartTag>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inicio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fin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Fecha cancelación:</w:t>
      </w:r>
      <w:r w:rsidR="00AC2A79" w:rsidRPr="004B3FCA">
        <w:rPr>
          <w:rFonts w:ascii="Georgia" w:hAnsi="Georgia"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Estatus:</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20.2</w:t>
      </w:r>
      <w:r w:rsidR="00AC2A79" w:rsidRPr="004B3FCA">
        <w:rPr>
          <w:rFonts w:ascii="Georgia" w:hAnsi="Georgia" w:cs="Georgia"/>
          <w:sz w:val="20"/>
          <w:szCs w:val="20"/>
        </w:rPr>
        <w:t xml:space="preserve"> según el estatus que tiene la póliza al cierre del periodo en reporte.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Tipo de crédito:</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160</w:t>
      </w:r>
      <w:r w:rsidR="00AC2A79" w:rsidRPr="004B3FCA">
        <w:rPr>
          <w:rFonts w:ascii="Georgia" w:hAnsi="Georgia" w:cs="Georgia"/>
          <w:sz w:val="20"/>
          <w:szCs w:val="20"/>
        </w:rPr>
        <w:t xml:space="preserve"> según si los riesgos de crédito están fuera o dentro del país.</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caso que la póliza cubra riesgos tanto fuera como dentro del país, se debe registrar la opción de Mixto.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Giro:</w:t>
      </w:r>
      <w:r w:rsidR="00AC2A79" w:rsidRPr="004B3FCA">
        <w:rPr>
          <w:rFonts w:ascii="Georgia" w:hAnsi="Georgia" w:cs="Georgia"/>
          <w:sz w:val="20"/>
          <w:szCs w:val="20"/>
        </w:rPr>
        <w:t xml:space="preserve"> Se debe capturar la clave del giro principal o del producto vendido a crédito por el asegurado, según el </w:t>
      </w:r>
      <w:r w:rsidR="00AC2A79" w:rsidRPr="004B3FCA">
        <w:rPr>
          <w:rFonts w:ascii="Georgia" w:hAnsi="Georgia" w:cs="Georgia"/>
          <w:b/>
          <w:bCs/>
          <w:sz w:val="20"/>
          <w:szCs w:val="20"/>
        </w:rPr>
        <w:t>catálogo 4</w:t>
      </w:r>
      <w:r w:rsidR="00AC2A79" w:rsidRPr="004B3FCA">
        <w:rPr>
          <w:rFonts w:ascii="Georgia" w:hAnsi="Georgia"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sz w:val="20"/>
          <w:szCs w:val="20"/>
        </w:rPr>
        <w:tab/>
      </w:r>
      <w:r w:rsidR="00AC2A79" w:rsidRPr="004B3FCA">
        <w:rPr>
          <w:rFonts w:ascii="Georgia" w:hAnsi="Georgia" w:cs="Georgia"/>
          <w:b/>
          <w:bCs/>
          <w:sz w:val="20"/>
          <w:szCs w:val="20"/>
        </w:rPr>
        <w:t>Tipo de póliza:</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161</w:t>
      </w:r>
      <w:r w:rsidR="00AC2A79" w:rsidRPr="004B3FCA">
        <w:rPr>
          <w:rFonts w:ascii="Georgia" w:hAnsi="Georgia" w:cs="Georgia"/>
          <w:sz w:val="20"/>
          <w:szCs w:val="20"/>
        </w:rPr>
        <w:t xml:space="preserve"> si la póliza cubre solamente un crédito específico o si tiene una cobertura global.</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2D254D">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2D254D">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2D254D"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2D254D">
        <w:rPr>
          <w:rFonts w:ascii="Georgia" w:hAnsi="Georgia" w:cs="Georgia"/>
          <w:sz w:val="20"/>
          <w:szCs w:val="20"/>
        </w:rPr>
        <w:t xml:space="preserve">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001705D2" w:rsidRPr="004B3FCA">
        <w:rPr>
          <w:rFonts w:ascii="Georgia" w:hAnsi="Georgia" w:cs="Georgia"/>
          <w:b/>
          <w:bCs/>
          <w:sz w:val="20"/>
          <w:szCs w:val="20"/>
        </w:rPr>
        <w:t>Tipo de pago:</w:t>
      </w:r>
      <w:r w:rsidR="001705D2"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1705D2" w:rsidRPr="004B3FCA">
          <w:rPr>
            <w:rFonts w:ascii="Georgia" w:hAnsi="Georgia" w:cs="Georgia"/>
            <w:sz w:val="20"/>
            <w:szCs w:val="20"/>
          </w:rPr>
          <w:t>1”</w:t>
        </w:r>
      </w:smartTag>
      <w:r w:rsidR="001705D2"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1705D2" w:rsidRPr="004B3FCA">
          <w:rPr>
            <w:rFonts w:ascii="Georgia" w:hAnsi="Georgia" w:cs="Georgia"/>
            <w:sz w:val="20"/>
            <w:szCs w:val="20"/>
          </w:rPr>
          <w:t>2”</w:t>
        </w:r>
      </w:smartTag>
      <w:r w:rsidR="001705D2" w:rsidRPr="004B3FCA">
        <w:rPr>
          <w:rFonts w:ascii="Georgia" w:hAnsi="Georgia" w:cs="Georgia"/>
          <w:sz w:val="20"/>
          <w:szCs w:val="20"/>
        </w:rPr>
        <w:t xml:space="preserve"> (dos) si el tipo de pago es fraccionado</w:t>
      </w:r>
      <w:r w:rsidR="00343641">
        <w:rPr>
          <w:rFonts w:ascii="Georgia" w:hAnsi="Georgia" w:cs="Georgia"/>
          <w:sz w:val="20"/>
          <w:szCs w:val="20"/>
        </w:rPr>
        <w:t>.</w:t>
      </w:r>
    </w:p>
    <w:p w:rsidR="00D14D21" w:rsidRDefault="00D14D21" w:rsidP="00AC2A79">
      <w:pPr>
        <w:pStyle w:val="Texto"/>
        <w:spacing w:line="240" w:lineRule="auto"/>
        <w:ind w:firstLine="0"/>
        <w:jc w:val="center"/>
        <w:rPr>
          <w:rFonts w:ascii="Georgia" w:hAnsi="Georgia" w:cs="Georgia"/>
          <w:b/>
          <w:bCs/>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CREEMI</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el plazo del crédito, se capturará el plazo máximo de días que se tienen para los créditos.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País: </w:t>
      </w:r>
      <w:r w:rsidR="00AC2A79" w:rsidRPr="004B3FCA">
        <w:rPr>
          <w:rFonts w:ascii="Georgia" w:hAnsi="Georgia" w:cs="Georgia"/>
          <w:sz w:val="20"/>
          <w:szCs w:val="20"/>
        </w:rPr>
        <w:t xml:space="preserve">Se debe capturar de acuerdo al </w:t>
      </w:r>
      <w:r w:rsidR="00AC2A79" w:rsidRPr="004B3FCA">
        <w:rPr>
          <w:rFonts w:ascii="Georgia" w:hAnsi="Georgia" w:cs="Georgia"/>
          <w:b/>
          <w:bCs/>
          <w:sz w:val="20"/>
          <w:szCs w:val="20"/>
        </w:rPr>
        <w:t>catálogo 162</w:t>
      </w:r>
      <w:r w:rsidR="00AC2A79" w:rsidRPr="004B3FCA">
        <w:rPr>
          <w:rFonts w:ascii="Georgia" w:hAnsi="Georgia" w:cs="Georgia"/>
          <w:sz w:val="20"/>
          <w:szCs w:val="20"/>
        </w:rPr>
        <w:t>, el país en el cual se encuentra el comprador al que se le está otorgando el crédito. Cuando el tipo de crédito sea interno, se capturará la opción “No aplica (interno)”.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la distribución de las ventas por país, se capturará la opción de “país no especificado”.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Prima emitida:</w:t>
      </w:r>
      <w:r w:rsidR="00AC2A79"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Prima retenida:</w:t>
      </w:r>
      <w:r w:rsidR="00AC2A79"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Prima devengada:</w:t>
      </w:r>
      <w:r w:rsidR="00AC2A79" w:rsidRPr="004B3FCA">
        <w:rPr>
          <w:rFonts w:ascii="Georgia" w:hAnsi="Georgia" w:cs="Georgia"/>
          <w:sz w:val="20"/>
          <w:szCs w:val="20"/>
        </w:rPr>
        <w:t xml:space="preserve"> Se debe reportar la parte proporcional de la prima emitida que se devengó durante el periodo de reporte, considerando pólizas y endosos emitidos tanto en el periodo de referencia, como los emitidos en periodos anteriores.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Suma asegurada:</w:t>
      </w:r>
      <w:r w:rsidR="00AC2A79" w:rsidRPr="004B3FCA">
        <w:rPr>
          <w:rFonts w:ascii="Georgia" w:hAnsi="Georgia" w:cs="Georgia"/>
          <w:sz w:val="20"/>
          <w:szCs w:val="20"/>
        </w:rPr>
        <w:t xml:space="preserve"> Se debe reportar el monto total de ventas</w:t>
      </w:r>
      <w:r w:rsidR="00D14D21">
        <w:rPr>
          <w:rFonts w:ascii="Georgia" w:hAnsi="Georgia" w:cs="Georgia"/>
          <w:sz w:val="20"/>
          <w:szCs w:val="20"/>
        </w:rPr>
        <w:t xml:space="preserve"> </w:t>
      </w:r>
      <w:r w:rsidR="00AC2A79" w:rsidRPr="004B3FCA">
        <w:rPr>
          <w:rFonts w:ascii="Georgia" w:hAnsi="Georgia" w:cs="Georgia"/>
          <w:sz w:val="20"/>
          <w:szCs w:val="20"/>
        </w:rPr>
        <w:t>por el asegurado</w:t>
      </w:r>
      <w:r w:rsidR="00C46418">
        <w:rPr>
          <w:rFonts w:ascii="Georgia" w:hAnsi="Georgia" w:cs="Georgia"/>
          <w:sz w:val="20"/>
          <w:szCs w:val="20"/>
        </w:rPr>
        <w:t xml:space="preserve"> realizadas</w:t>
      </w:r>
      <w:r w:rsidR="00D14D21">
        <w:rPr>
          <w:rFonts w:ascii="Georgia" w:hAnsi="Georgia" w:cs="Georgia"/>
          <w:sz w:val="20"/>
          <w:szCs w:val="20"/>
        </w:rPr>
        <w:t xml:space="preserve"> durante toda la vigencia de la póliza</w:t>
      </w:r>
      <w:r w:rsidR="00AC2A79" w:rsidRPr="004B3FCA">
        <w:rPr>
          <w:rFonts w:ascii="Georgia" w:hAnsi="Georgia" w:cs="Georgia"/>
          <w:sz w:val="20"/>
          <w:szCs w:val="20"/>
        </w:rPr>
        <w: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Comisión directa:</w:t>
      </w:r>
      <w:r w:rsidR="00AC2A7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Fecha de emisión:</w:t>
      </w:r>
      <w:r w:rsidR="00AC2A79"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AC2A79" w:rsidRPr="004B3FCA" w:rsidRDefault="00AC2A79" w:rsidP="00AC2A79">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CRESIN</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Número de siniestro: </w:t>
      </w:r>
      <w:r w:rsidR="00AC2A79" w:rsidRPr="004B3FCA">
        <w:rPr>
          <w:rFonts w:ascii="Georgia" w:hAnsi="Georgia" w:cs="Georgia"/>
          <w:sz w:val="20"/>
          <w:szCs w:val="20"/>
        </w:rPr>
        <w:t>Se debe capturar la clave que la misma Institución le asignó al siniestro ocurrido, por lo que cada siniestro tendrá una clave diferente.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Tipo de insolvencia:</w:t>
      </w:r>
      <w:r w:rsidR="00AC2A79" w:rsidRPr="004B3FCA">
        <w:rPr>
          <w:rFonts w:ascii="Georgia" w:hAnsi="Georgia" w:cs="Georgia"/>
          <w:sz w:val="20"/>
          <w:szCs w:val="20"/>
        </w:rPr>
        <w:t xml:space="preserve"> Se debe especificar de acuerdo al </w:t>
      </w:r>
      <w:r w:rsidR="00AC2A79" w:rsidRPr="00591B0C">
        <w:rPr>
          <w:rFonts w:ascii="Georgia" w:hAnsi="Georgia" w:cs="Georgia"/>
          <w:b/>
          <w:sz w:val="20"/>
          <w:szCs w:val="20"/>
        </w:rPr>
        <w:t>catálogo 163</w:t>
      </w:r>
      <w:r w:rsidR="00AC2A79" w:rsidRPr="004B3FCA">
        <w:rPr>
          <w:rFonts w:ascii="Georgia" w:hAnsi="Georgia" w:cs="Georgia"/>
          <w:sz w:val="20"/>
          <w:szCs w:val="20"/>
        </w:rPr>
        <w:t>, la causa de la reclamación de la póliza.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de Hecho:</w:t>
      </w:r>
      <w:r w:rsidRPr="004B3FCA">
        <w:rPr>
          <w:rFonts w:ascii="Georgia" w:hAnsi="Georgia" w:cs="Georgia"/>
          <w:sz w:val="20"/>
          <w:szCs w:val="20"/>
        </w:rPr>
        <w:t xml:space="preserve"> Ocurre cuando el Comprador no utiliza los mecanismos legales correspondientes pero se determina que no puede efectuar el pago.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Legal:</w:t>
      </w:r>
      <w:r w:rsidRPr="004B3FCA">
        <w:rPr>
          <w:rFonts w:ascii="Georgia" w:hAnsi="Georgia" w:cs="Georgia"/>
          <w:sz w:val="20"/>
          <w:szCs w:val="20"/>
        </w:rPr>
        <w:t xml:space="preserve"> Cuando existe una situación jurídica clara, definida, como </w:t>
      </w:r>
      <w:smartTag w:uri="urn:schemas-microsoft-com:office:smarttags" w:element="PersonName">
        <w:smartTagPr>
          <w:attr w:name="ProductID" w:val="la Quiebra"/>
        </w:smartTagPr>
        <w:r w:rsidRPr="004B3FCA">
          <w:rPr>
            <w:rFonts w:ascii="Georgia" w:hAnsi="Georgia" w:cs="Georgia"/>
            <w:sz w:val="20"/>
            <w:szCs w:val="20"/>
          </w:rPr>
          <w:t>la Quiebra</w:t>
        </w:r>
      </w:smartTag>
      <w:r w:rsidRPr="004B3FCA">
        <w:rPr>
          <w:rFonts w:ascii="Georgia" w:hAnsi="Georgia" w:cs="Georgia"/>
          <w:sz w:val="20"/>
          <w:szCs w:val="20"/>
        </w:rPr>
        <w:t>, Suspensión de pagos o alguna similar en el país deudor.</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Mora Prolongada:</w:t>
      </w:r>
      <w:r w:rsidRPr="004B3FCA">
        <w:rPr>
          <w:rFonts w:ascii="Georgia" w:hAnsi="Georgia" w:cs="Georgia"/>
          <w:sz w:val="20"/>
          <w:szCs w:val="20"/>
        </w:rPr>
        <w:t xml:space="preserve"> Se configura cuando un crédito no es pagado en el plazo establecido para la mora después de su vencimiento.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Riesgo Político:</w:t>
      </w:r>
      <w:r w:rsidRPr="004B3FCA">
        <w:rPr>
          <w:rFonts w:ascii="Georgia" w:hAnsi="Georgia" w:cs="Georgia"/>
          <w:sz w:val="20"/>
          <w:szCs w:val="20"/>
        </w:rPr>
        <w:t xml:space="preserve"> Ocurre cuando el comprador, ubicado fuera del territorio mexicano, no puede efectuar el pago como consecuencia directa de algún acontecimiento político en el país del comprador.</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AC2A79" w:rsidRPr="004B3FCA">
        <w:rPr>
          <w:rFonts w:ascii="Georgia" w:hAnsi="Georgia" w:cs="Georgia"/>
          <w:b/>
          <w:bCs/>
          <w:sz w:val="20"/>
          <w:szCs w:val="20"/>
        </w:rPr>
        <w:t>.</w:t>
      </w:r>
      <w:r w:rsidR="00AC2A79" w:rsidRPr="004B3FCA">
        <w:rPr>
          <w:rFonts w:ascii="Georgia" w:hAnsi="Georgia" w:cs="Georgia"/>
          <w:b/>
          <w:bCs/>
          <w:sz w:val="20"/>
          <w:szCs w:val="20"/>
        </w:rPr>
        <w:tab/>
        <w:t>Fecha de ocurrencia del siniestro:</w:t>
      </w:r>
      <w:r w:rsidR="00AC2A79"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Fecha de reporte del siniestro:</w:t>
      </w:r>
      <w:r w:rsidR="00AC2A79"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Entidad:</w:t>
      </w:r>
      <w:r w:rsidR="00AC2A79" w:rsidRPr="004B3FCA">
        <w:rPr>
          <w:rFonts w:ascii="Georgia" w:hAnsi="Georgia" w:cs="Georgia"/>
          <w:sz w:val="20"/>
          <w:szCs w:val="20"/>
        </w:rPr>
        <w:t xml:space="preserve"> Se debe capturar según el </w:t>
      </w:r>
      <w:r w:rsidR="00AC2A79" w:rsidRPr="00591B0C">
        <w:rPr>
          <w:rFonts w:ascii="Georgia" w:hAnsi="Georgia" w:cs="Georgia"/>
          <w:b/>
          <w:sz w:val="20"/>
          <w:szCs w:val="20"/>
        </w:rPr>
        <w:t>catálogo 16.1</w:t>
      </w:r>
      <w:r w:rsidR="00AC2A79" w:rsidRPr="004B3FCA">
        <w:rPr>
          <w:rFonts w:ascii="Georgia" w:hAnsi="Georgia" w:cs="Georgia"/>
          <w:sz w:val="20"/>
          <w:szCs w:val="20"/>
        </w:rPr>
        <w:t>, la entidad federativa del país en donde ocurrió el siniestro. En el caso que el tipo de crédito sea de exportación, se capturará la clave de la opción “No aplica (exportación)”.</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País:</w:t>
      </w:r>
      <w:r w:rsidR="00AC2A79" w:rsidRPr="004B3FCA">
        <w:rPr>
          <w:rFonts w:ascii="Georgia" w:hAnsi="Georgia" w:cs="Georgia"/>
          <w:sz w:val="20"/>
          <w:szCs w:val="20"/>
        </w:rPr>
        <w:t xml:space="preserve"> Se debe capturar la clave asignada a cada país en donde ocurrió el siniestro, según el </w:t>
      </w:r>
      <w:r w:rsidR="00AC2A79" w:rsidRPr="004B3FCA">
        <w:rPr>
          <w:rFonts w:ascii="Georgia" w:hAnsi="Georgia" w:cs="Georgia"/>
          <w:b/>
          <w:bCs/>
          <w:sz w:val="20"/>
          <w:szCs w:val="20"/>
        </w:rPr>
        <w:t>catálogo 162</w:t>
      </w:r>
      <w:r w:rsidR="00AC2A79" w:rsidRPr="004B3FCA">
        <w:rPr>
          <w:rFonts w:ascii="Georgia" w:hAnsi="Georgia" w:cs="Georgia"/>
          <w:sz w:val="20"/>
          <w:szCs w:val="20"/>
        </w:rPr>
        <w:t>. En el caso que el tipo de crédito sea interno, se capturará la opción “No aplica (interno)”.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Monto del siniestro ocurrido:</w:t>
      </w:r>
      <w:r w:rsidR="00AC2A79"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B845BA" w:rsidRPr="00B845BA">
        <w:rPr>
          <w:rFonts w:ascii="Georgia" w:hAnsi="Georgia" w:cs="Georgia"/>
          <w:sz w:val="20"/>
          <w:szCs w:val="20"/>
        </w:rPr>
        <w:t xml:space="preserve"> </w:t>
      </w:r>
      <w:r w:rsidR="00B845BA">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Gastos de </w:t>
      </w:r>
      <w:r w:rsidR="00D14D21">
        <w:rPr>
          <w:rFonts w:ascii="Georgia" w:hAnsi="Georgia" w:cs="Georgia"/>
          <w:b/>
          <w:bCs/>
          <w:sz w:val="20"/>
          <w:szCs w:val="20"/>
        </w:rPr>
        <w:t>a</w:t>
      </w:r>
      <w:r w:rsidRPr="004B3FCA">
        <w:rPr>
          <w:rFonts w:ascii="Georgia" w:hAnsi="Georgia" w:cs="Georgia"/>
          <w:b/>
          <w:bCs/>
          <w:sz w:val="20"/>
          <w:szCs w:val="20"/>
        </w:rPr>
        <w:t>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5C294E" w:rsidRPr="005C294E">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salvamento o el monto obtenido por la Institución, derivado de lo recuperado por concepto de siniestros.</w:t>
      </w:r>
    </w:p>
    <w:p w:rsidR="0087498D" w:rsidRDefault="0087498D" w:rsidP="0087498D">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7498D" w:rsidRPr="004B3FCA" w:rsidRDefault="0087498D" w:rsidP="0087498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el mismo siniestro, </w:t>
      </w:r>
      <w:r w:rsidR="00060885">
        <w:rPr>
          <w:rFonts w:ascii="Georgia" w:hAnsi="Georgia" w:cs="Georgia"/>
          <w:sz w:val="20"/>
          <w:szCs w:val="20"/>
        </w:rPr>
        <w:t>plazo y pa</w:t>
      </w:r>
      <w:r w:rsidR="00002373">
        <w:rPr>
          <w:rFonts w:ascii="Georgia" w:hAnsi="Georgia" w:cs="Georgia"/>
          <w:sz w:val="20"/>
          <w:szCs w:val="20"/>
        </w:rPr>
        <w:t>í</w:t>
      </w:r>
      <w:r w:rsidR="00060885">
        <w:rPr>
          <w:rFonts w:ascii="Georgia" w:hAnsi="Georgia" w:cs="Georgia"/>
          <w:sz w:val="20"/>
          <w:szCs w:val="20"/>
        </w:rPr>
        <w:t>s</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4B3FCA" w:rsidTr="008A6E23">
        <w:trPr>
          <w:cantSplit/>
          <w:jc w:val="center"/>
        </w:trPr>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rPr>
          <w:rFonts w:ascii="Georgia" w:hAnsi="Georgia" w:cs="Georgia"/>
          <w:sz w:val="20"/>
          <w:szCs w:val="20"/>
        </w:rPr>
      </w:pPr>
    </w:p>
    <w:p w:rsidR="00AC2A79" w:rsidRPr="004B3FCA" w:rsidRDefault="00AC2A79" w:rsidP="002F4FC9">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2F4FC9" w:rsidRPr="004B3FCA">
        <w:rPr>
          <w:rFonts w:ascii="Georgia" w:hAnsi="Georgia" w:cs="Georgia"/>
          <w:b/>
          <w:bCs/>
          <w:sz w:val="20"/>
          <w:szCs w:val="20"/>
        </w:rPr>
        <w:t>CATÁLOGOS</w:t>
      </w:r>
    </w:p>
    <w:p w:rsidR="00AC2A79" w:rsidRPr="004B3FCA" w:rsidRDefault="00AC2A79" w:rsidP="00AC2A79">
      <w:pPr>
        <w:pStyle w:val="Texto"/>
        <w:spacing w:after="0" w:line="240" w:lineRule="auto"/>
        <w:ind w:firstLine="289"/>
        <w:rPr>
          <w:rFonts w:ascii="Georgia" w:hAnsi="Georgia" w:cs="Georgia"/>
          <w:b/>
          <w:bCs/>
          <w:sz w:val="20"/>
          <w:szCs w:val="20"/>
        </w:rPr>
      </w:pPr>
    </w:p>
    <w:p w:rsidR="00AC2A79" w:rsidRPr="004B3FCA" w:rsidRDefault="00AC2A79" w:rsidP="00AC2A7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AC2A79" w:rsidRDefault="00AC2A79"/>
    <w:sectPr w:rsidR="00AC2A7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13" w:rsidRDefault="00D52413" w:rsidP="00AC2A79">
      <w:r>
        <w:separator/>
      </w:r>
    </w:p>
  </w:endnote>
  <w:endnote w:type="continuationSeparator" w:id="0">
    <w:p w:rsidR="00D52413" w:rsidRDefault="00D52413"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13" w:rsidRDefault="00D52413" w:rsidP="00AC2A79">
      <w:r>
        <w:separator/>
      </w:r>
    </w:p>
  </w:footnote>
  <w:footnote w:type="continuationSeparator" w:id="0">
    <w:p w:rsidR="00D52413" w:rsidRDefault="00D52413" w:rsidP="00AC2A79">
      <w:r>
        <w:continuationSeparator/>
      </w:r>
    </w:p>
  </w:footnote>
  <w:footnote w:id="1">
    <w:p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rsidR="00AC2A79" w:rsidRDefault="00AC2A79" w:rsidP="00AC2A79"/>
  </w:footnote>
  <w:footnote w:id="3">
    <w:p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79"/>
    <w:rsid w:val="00002373"/>
    <w:rsid w:val="00016A9B"/>
    <w:rsid w:val="00043C00"/>
    <w:rsid w:val="00046A3D"/>
    <w:rsid w:val="00060885"/>
    <w:rsid w:val="00083CB0"/>
    <w:rsid w:val="00090D19"/>
    <w:rsid w:val="000F1E9F"/>
    <w:rsid w:val="00156E5C"/>
    <w:rsid w:val="001705D2"/>
    <w:rsid w:val="00174211"/>
    <w:rsid w:val="00263FF1"/>
    <w:rsid w:val="002D254D"/>
    <w:rsid w:val="002F298D"/>
    <w:rsid w:val="002F475F"/>
    <w:rsid w:val="002F4FC9"/>
    <w:rsid w:val="00343641"/>
    <w:rsid w:val="003E1EA0"/>
    <w:rsid w:val="00482251"/>
    <w:rsid w:val="004E561A"/>
    <w:rsid w:val="005076AD"/>
    <w:rsid w:val="00521825"/>
    <w:rsid w:val="00535C09"/>
    <w:rsid w:val="00574877"/>
    <w:rsid w:val="00595367"/>
    <w:rsid w:val="005C294E"/>
    <w:rsid w:val="005E7216"/>
    <w:rsid w:val="006413C5"/>
    <w:rsid w:val="0084216F"/>
    <w:rsid w:val="0087498D"/>
    <w:rsid w:val="00983B5F"/>
    <w:rsid w:val="00986D63"/>
    <w:rsid w:val="009A1822"/>
    <w:rsid w:val="009A760D"/>
    <w:rsid w:val="00A6015D"/>
    <w:rsid w:val="00AB09B3"/>
    <w:rsid w:val="00AC2A79"/>
    <w:rsid w:val="00B521F2"/>
    <w:rsid w:val="00B845BA"/>
    <w:rsid w:val="00B869A2"/>
    <w:rsid w:val="00BE03DD"/>
    <w:rsid w:val="00C25A9E"/>
    <w:rsid w:val="00C46418"/>
    <w:rsid w:val="00C9552D"/>
    <w:rsid w:val="00CB022B"/>
    <w:rsid w:val="00CD54DC"/>
    <w:rsid w:val="00D14D21"/>
    <w:rsid w:val="00D507CC"/>
    <w:rsid w:val="00D52413"/>
    <w:rsid w:val="00E13D36"/>
    <w:rsid w:val="00E55B89"/>
    <w:rsid w:val="00E607FB"/>
    <w:rsid w:val="00E82819"/>
    <w:rsid w:val="00ED2F20"/>
    <w:rsid w:val="00ED7D20"/>
    <w:rsid w:val="00F2636A"/>
    <w:rsid w:val="00F44E41"/>
    <w:rsid w:val="00F46ACE"/>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3F62AD8-E69E-4453-8351-3970235B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ZUWP26PT267V-208-421</_dlc_DocId>
    <_dlc_DocIdUrl xmlns="fbb82a6a-a961-4754-99c6-5e8b59674839">
      <Url>https://www.cnsf.gob.mx/Sistemas/_layouts/15/DocIdRedir.aspx?ID=ZUWP26PT267V-208-421</Url>
      <Description>ZUWP26PT267V-208-421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50495-510F-47BF-A880-10EF01CA1A7A}"/>
</file>

<file path=customXml/itemProps2.xml><?xml version="1.0" encoding="utf-8"?>
<ds:datastoreItem xmlns:ds="http://schemas.openxmlformats.org/officeDocument/2006/customXml" ds:itemID="{46C0D162-6685-4DB9-BD6B-F1222150AB6D}"/>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DBFB6C43-B667-4187-9325-061856E207E6}"/>
</file>

<file path=docProps/app.xml><?xml version="1.0" encoding="utf-8"?>
<Properties xmlns="http://schemas.openxmlformats.org/officeDocument/2006/extended-properties" xmlns:vt="http://schemas.openxmlformats.org/officeDocument/2006/docPropsVTypes">
  <Template>Normal</Template>
  <TotalTime>11</TotalTime>
  <Pages>6</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8</cp:revision>
  <dcterms:created xsi:type="dcterms:W3CDTF">2015-12-02T16:58:00Z</dcterms:created>
  <dcterms:modified xsi:type="dcterms:W3CDTF">2016-12-21T17:40:00Z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c7756888-ff19-476b-a5e3-17ef60079a78</vt:lpwstr>
  </property>
</Properties>
</file>